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w:t>
        <w:t xml:space="preserve">.  </w:t>
      </w:r>
      <w:r>
        <w:rPr>
          <w:b/>
        </w:rPr>
        <w:t xml:space="preserve">Appeals</w:t>
      </w:r>
    </w:p>
    <w:p>
      <w:pPr>
        <w:jc w:val="both"/>
        <w:spacing w:before="100" w:after="100"/>
        <w:ind w:start="360"/>
        <w:ind w:firstLine="360"/>
      </w:pPr>
      <w:r>
        <w:rPr/>
      </w:r>
      <w:r>
        <w:rPr/>
      </w:r>
      <w:r>
        <w:t xml:space="preserve">When proceedings have been had by the county commissioners on a petition for laying out, altering, grading or discontinuing a way in 2 or more counties, an appeal may be taken in the manner provided in case of a way wholly in one county.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§2153.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§2153.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