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§3024. Recording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Recording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§3024. RECORDING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