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§564. MINOR SPANS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