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7014</w:t>
        <w:t xml:space="preserve">.  </w:t>
      </w:r>
      <w:r>
        <w:rPr>
          <w:b/>
        </w:rPr>
        <w:t xml:space="preserve">Orders</w:t>
      </w:r>
    </w:p>
    <w:p>
      <w:pPr>
        <w:jc w:val="both"/>
        <w:spacing w:before="100" w:after="100"/>
        <w:ind w:start="360"/>
        <w:ind w:firstLine="360"/>
      </w:pPr>
      <w:r>
        <w:rPr/>
      </w:r>
      <w:r>
        <w:rPr/>
      </w:r>
      <w:r>
        <w:t xml:space="preserve">The Superior Court is given full jurisdiction to enforce compliance with any order issued prior to January 1, 1982, by the Public Utilities Commission or any order issued by the Department of Transportation under this chapter. It is the duty of the Department of Transportation to see that the rights of the public under this 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§7014.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§7014.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§7014.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