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§7203. MAINTENANCE OF RAILROAD CROSSINGS ALREADY LAID 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