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7228</w:t>
        <w:t xml:space="preserve">.  </w:t>
      </w:r>
      <w:r>
        <w:rPr>
          <w:b/>
        </w:rPr>
        <w:t xml:space="preserve">Railroad company may enter private property</w:t>
      </w:r>
    </w:p>
    <w:p>
      <w:pPr>
        <w:jc w:val="both"/>
        <w:spacing w:before="100" w:after="100"/>
        <w:ind w:start="360"/>
        <w:ind w:firstLine="360"/>
      </w:pPr>
      <w:r>
        <w:rPr/>
      </w:r>
      <w:r>
        <w:rPr/>
      </w:r>
      <w:r>
        <w:t xml:space="preserve">For the purpose of creating and maintaining the fair view mentioned in </w:t>
      </w:r>
      <w:r>
        <w:t>sections 7221</w:t>
      </w:r>
      <w:r>
        <w:t xml:space="preserve"> to </w:t>
      </w:r>
      <w:r>
        <w:t>7227</w:t>
      </w:r>
      <w:r>
        <w:t xml:space="preserve"> or for the purpose of improving the view at one or more angles, any steam railroad company subject to this chapter may enter on private property and remove any embankment or other obstruction except a dwelling house. The owner of the property is entitled to damages, and may have the damages estimated and paid in a manner provided in </w:t>
      </w:r>
      <w:r>
        <w:t>chapter 607</w:t>
      </w:r>
      <w:r>
        <w:t xml:space="preserve">, and there is the same right of appeal as given in that chapter.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§7228. Railroad company may enter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§7228. Railroad company may enter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§7228. RAILROAD COMPANY MAY ENTER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