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Rail corridor use advisory councils</w:t>
      </w:r>
    </w:p>
    <w:p>
      <w:pPr>
        <w:jc w:val="both"/>
        <w:spacing w:before="100" w:after="0"/>
        <w:ind w:start="360"/>
        <w:ind w:firstLine="360"/>
      </w:pPr>
      <w:r>
        <w:rPr>
          <w:b/>
        </w:rPr>
        <w:t>1</w:t>
        <w:t xml:space="preserve">.  </w:t>
      </w:r>
      <w:r>
        <w:rPr>
          <w:b/>
        </w:rPr>
        <w:t xml:space="preserve">Purpose.</w:t>
        <w:t xml:space="preserve"> </w:t>
      </w:r>
      <w:r>
        <w:t xml:space="preserve"> </w:t>
      </w:r>
      <w:r>
        <w:t xml:space="preserve">Upon petition by one or more governmental entities that represent communities along a state-owned rail corridor in which the department controls the right-of-way requesting the department to review a nonrail recreational or nonrecreational transportation use of that rail corridor, the Commissioner of Transportation, for each petition received, shall notify the joint standing committee of the Legislature having jurisdiction over transportation matters and may establish a rail corridor use advisory council, referred to in this section as "a council," to facilitate discussion, gather information and provide advice to the commissioner regarding future use of the rail corridor identified in the petition. The council shall review and make recommendations on the likelihood, benefits and costs of potential uses of the rail corridor, including, but not limited to, rail use, trail use or bikeways.  Any nonrail use of a rail corridor must be considered by a council to be interim in nature, and all such rail corridors must be preserved for future rail use as provided in </w:t>
      </w:r>
      <w:r>
        <w:t>chapter 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Commissioner of Transportation shall invite at least 9 and no more than 15 persons to serve on a council. Membership may include:</w:t>
      </w:r>
    </w:p>
    <w:p>
      <w:pPr>
        <w:jc w:val="both"/>
        <w:spacing w:before="100" w:after="0"/>
        <w:ind w:start="720"/>
      </w:pPr>
      <w:r>
        <w:rPr/>
        <w:t>A</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B</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C</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E</w:t>
        <w:t xml:space="preserve">.  </w:t>
      </w:r>
      <w:r>
        <w:rPr/>
      </w:r>
      <w:r>
        <w:t xml:space="preserve">One or more members representing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F</w:t>
        <w:t xml:space="preserve">.  </w:t>
      </w:r>
      <w:r>
        <w:rPr/>
      </w:r>
      <w:r>
        <w:t xml:space="preserve">One member representing a statewide tourism organization or a regional tourism organization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G</w:t>
        <w:t xml:space="preserve">.  </w:t>
      </w:r>
      <w:r>
        <w:rPr/>
      </w:r>
      <w:r>
        <w:t xml:space="preserve">One member representing a chamber of commerce or other regional or local economic development entity of the geographic area containing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H</w:t>
        <w:t xml:space="preserve">.  </w:t>
      </w:r>
      <w:r>
        <w:rPr/>
      </w:r>
      <w:r>
        <w:t xml:space="preserve">One member representing an organization advocating for rail use or preservation;</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I</w:t>
        <w:t xml:space="preserve">.  </w:t>
      </w:r>
      <w:r>
        <w:rPr/>
      </w:r>
      <w:r>
        <w:t xml:space="preserve">One member representing an organization advocating for recreational trail use or advocating for bicyclist or pedestrian interests; and</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w:pPr>
        <w:jc w:val="both"/>
        <w:spacing w:before="100" w:after="0"/>
        <w:ind w:start="720"/>
      </w:pPr>
      <w:r>
        <w:rPr/>
        <w:t>J</w:t>
        <w:t xml:space="preserve">.  </w:t>
      </w:r>
      <w:r>
        <w:rPr/>
      </w:r>
      <w:r>
        <w:t xml:space="preserve">One or more municipal officials or staff from municipalities located on the rail corridor.</w:t>
      </w:r>
      <w:r>
        <w:t xml:space="preserve">  </w:t>
      </w:r>
      <w:r xmlns:wp="http://schemas.openxmlformats.org/drawingml/2010/wordprocessingDrawing" xmlns:w15="http://schemas.microsoft.com/office/word/2012/wordml">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3</w:t>
        <w:t xml:space="preserve">.  </w:t>
      </w:r>
      <w:r>
        <w:rPr>
          <w:b/>
        </w:rPr>
        <w:t xml:space="preserve">Meetings; chair.</w:t>
        <w:t xml:space="preserve"> </w:t>
      </w:r>
      <w:r>
        <w:t xml:space="preserve"> </w:t>
      </w:r>
      <w:r>
        <w:t xml:space="preserve">The Commissioner of Transportation shall designate the chair of a council. The department shall provide staff support to the council. The council may adopt bylaws and other policies to effectively govern its proceedings. The council shall meet at the call of the chair and shall hold a minimum of one public hearing located in the geographic area along the rail corridor for which the council was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w:pPr>
        <w:jc w:val="both"/>
        <w:spacing w:before="100" w:after="0"/>
        <w:ind w:start="360"/>
        <w:ind w:firstLine="360"/>
      </w:pPr>
      <w:r>
        <w:rPr>
          <w:b/>
        </w:rPr>
        <w:t>4</w:t>
        <w:t xml:space="preserve">.  </w:t>
      </w:r>
      <w:r>
        <w:rPr>
          <w:b/>
        </w:rPr>
        <w:t xml:space="preserve">Report.</w:t>
        <w:t xml:space="preserve"> </w:t>
      </w:r>
      <w:r>
        <w:t xml:space="preserve"> </w:t>
      </w:r>
      <w:r>
        <w:t xml:space="preserve">Within 9 months of convening its first meeting, a council shall submit a report to the Commissioner of Transportation on its findings and recommendations regarding the use of the rail corridor, including majority and minority reports if necessary. Upon conclusion of the council's work, the Commissioner of Transportation shall disband that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Rail corridor use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 RAIL CORRIDOR USE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