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§10. APPLICATION OF CODE AS TO PARTICULAR TYPES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