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Securities eligible for deposit</w:t>
      </w:r>
    </w:p>
    <w:p>
      <w:pPr>
        <w:jc w:val="both"/>
        <w:spacing w:before="100" w:after="0"/>
        <w:ind w:start="360"/>
        <w:ind w:firstLine="360"/>
      </w:pPr>
      <w:r>
        <w:rPr>
          <w:b/>
        </w:rPr>
        <w:t>1</w:t>
        <w:t xml:space="preserve">.  </w:t>
      </w:r>
      <w:r>
        <w:rPr>
          <w:b/>
        </w:rPr>
      </w:r>
      <w:r>
        <w:t xml:space="preserve"> </w:t>
      </w:r>
      <w:r>
        <w:t xml:space="preserve">All such deposits required under </w:t>
      </w:r>
      <w:r>
        <w:t>section 412</w:t>
      </w:r>
      <w:r>
        <w:t xml:space="preserve"> for authority to transact insurance in this State and hereafter made shall consist of securities in negotiable form of kinds eligible for investment of funds of domestic insurers under </w:t>
      </w:r>
      <w:r>
        <w:t>chapter 13</w:t>
      </w:r>
      <w:r>
        <w:t xml:space="preserve">, other than real estate mortgages, and approved by the superintendent for deposit. Deposits heretofore made shall consist of such assets as were then eligible for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other deposits of a domestic insurer held in this State pursuant to the laws of another state, province or country shall be comprised of securities of the kinds described in </w:t>
      </w:r>
      <w:r>
        <w:t>subsection 1</w:t>
      </w:r>
      <w:r>
        <w:t xml:space="preserve">, and of such additional kind or kinds of securities required or permitted by the laws of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of foreign insurers made in this State under the retaliatory provision, </w:t>
      </w:r>
      <w:r>
        <w:t>section 428</w:t>
      </w:r>
      <w:r>
        <w:t xml:space="preserve">, shall consist of such assets as are required by the superintendent pursuant to such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§26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§1253. SECURITIES ELIGIBLE FOR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