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§1420-N. Notification to superintendent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§1420-N. NOTIFICATION TO SUPERINTENDENT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