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1426</w:t>
        <w:t xml:space="preserve">.  </w:t>
      </w:r>
      <w:r>
        <w:rPr>
          <w:b/>
        </w:rPr>
        <w:t xml:space="preserve">Issuance; refusal of license; refunds of fees</w:t>
      </w:r>
    </w:p>
    <w:p>
      <w:pPr>
        <w:jc w:val="both"/>
        <w:spacing w:before="100" w:after="0"/>
        <w:ind w:start="360"/>
        <w:ind w:firstLine="360"/>
      </w:pPr>
      <w:r>
        <w:rPr>
          <w:b/>
        </w:rPr>
        <w:t>1</w:t>
        <w:t xml:space="preserve">.  </w:t>
      </w:r>
      <w:r>
        <w:rPr>
          <w:b/>
        </w:rPr>
        <w:t xml:space="preserve">Issuance.</w:t>
        <w:t xml:space="preserve"> </w:t>
      </w:r>
      <w:r>
        <w:t xml:space="preserve"> </w:t>
      </w:r>
      <w:r>
        <w:t xml:space="preserve">If the superintendent finds that the application is complete, the applicant has passed any required examination and that the applicant is otherwise qualified for  the license applied for, the superintendent shall promptly issue the license;  otherwise, the  superintendent may not issue the license and shall promptly notify the applicant of such refusal stating the grounds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2</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§29 (AMD). PL 2001, c. 259,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§1426. Issuance; refusal of license; refunds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§1426. Issuance; refusal of license; refunds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§1426. ISSUANCE; REFUSAL OF LICENSE; REFUNDS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