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Qualifications for license</w:t>
      </w:r>
    </w:p>
    <w:p>
      <w:pPr>
        <w:jc w:val="both"/>
        <w:spacing w:before="100" w:after="100"/>
        <w:ind w:start="360"/>
        <w:ind w:firstLine="360"/>
      </w:pPr>
      <w:r>
        <w:rPr/>
      </w:r>
      <w:r>
        <w:rPr/>
      </w:r>
      <w:r>
        <w:t xml:space="preserve">A license may not be issued pursuant to this subchapter unless the applicant has satisfactorily passed a written examination administered by the superintendent and has filed a bond as required by </w:t>
      </w:r>
      <w:r>
        <w:t>section 1464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§1463. Qualifications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Qualifications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§1463. QUALIFICATIONS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