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Obligation to serve interest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§1467. OBLIGATION TO SERVE INTEREST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