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Unauthorized activities</w:t>
      </w:r>
    </w:p>
    <w:p>
      <w:pPr>
        <w:jc w:val="both"/>
        <w:spacing w:before="100" w:after="100"/>
        <w:ind w:start="360"/>
        <w:ind w:firstLine="360"/>
      </w:pPr>
      <w:r>
        <w:rPr/>
      </w:r>
      <w:r>
        <w:rPr/>
      </w:r>
      <w:r>
        <w:t xml:space="preserve">Nothing in this chapter may be construed to permit any person or entity to receive or collect charges, contributions or premiums for, or adjust or settle claims in connection with, any type of life or accident or health benefit, unless the person or entity is authorized through the insurance laws of a state or the Employee Retirement Income Security Act of 1974, 29 United States Code, Section 1001, et seq. as amended, to provide those benefits.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 Unauthorized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Unauthorized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§1910. UNAUTHORIZED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