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Producer with surplus lines authority may compensate another producer</w:t>
      </w:r>
    </w:p>
    <w:p>
      <w:pPr>
        <w:jc w:val="both"/>
        <w:spacing w:before="100" w:after="100"/>
        <w:ind w:start="360"/>
        <w:ind w:firstLine="360"/>
      </w:pPr>
      <w:r>
        <w:rPr/>
      </w:r>
      <w:r>
        <w:rPr/>
      </w:r>
      <w:r>
        <w:t xml:space="preserve">A licensed producer with surplus lines authority may accept and place surplus line business for any insurance producer licensed in this State for the kind of insurance involved, and may compensate the producer for the business.</w:t>
      </w:r>
      <w:r>
        <w:t xml:space="preserve">  </w:t>
      </w:r>
      <w:r xmlns:wp="http://schemas.openxmlformats.org/drawingml/2010/wordprocessingDrawing" xmlns:w15="http://schemas.microsoft.com/office/word/2012/wordml">
        <w:rPr>
          <w:rFonts w:ascii="Arial" w:hAnsi="Arial" w:cs="Arial"/>
          <w:sz w:val="22"/>
          <w:szCs w:val="22"/>
        </w:rPr>
        <w:t xml:space="preserve">[PL 1997, c. 592,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§60 (AMD). RR 2015,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§2014. Producer with surplus lines authority may compensate another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Producer with surplus lines authority may compensate another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§2014. PRODUCER WITH SURPLUS LINES AUTHORITY MAY COMPENSATE ANOTHER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