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Compensation</w:t>
      </w:r>
    </w:p>
    <w:p>
      <w:pPr>
        <w:jc w:val="both"/>
        <w:spacing w:before="100" w:after="100"/>
        <w:ind w:start="360"/>
        <w:ind w:firstLine="360"/>
      </w:pPr>
      <w:r>
        <w:rPr/>
      </w:r>
      <w:r>
        <w:rPr/>
      </w:r>
      <w:r>
        <w:t xml:space="preserve">The State shall pay to the superintendent an annual salary in amount as provided by law as full compensation for all duties required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702, Pt. E,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553, §25 (AMD). PL 1989, c. 702, §E12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§203.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