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Purpose</w:t>
      </w:r>
    </w:p>
    <w:p>
      <w:pPr>
        <w:jc w:val="both"/>
        <w:spacing w:before="100" w:after="100"/>
        <w:ind w:start="360"/>
        <w:ind w:firstLine="360"/>
      </w:pPr>
      <w:r>
        <w:rPr/>
      </w:r>
      <w:r>
        <w:rPr/>
      </w:r>
      <w:r>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such practices in this State which constitute unfair methods of competition or unfair or deceptive acts or practices, by defining or providing for the determination of all such practices in other states by residents of this State which constitute unfair methods of competition or unfair or deceptive acts or practices, and by prohibiting the trade practices so defined or determined.</w:t>
      </w:r>
      <w:r>
        <w:t xml:space="preserve">  </w:t>
      </w:r>
      <w:r xmlns:wp="http://schemas.openxmlformats.org/drawingml/2010/wordprocessingDrawing" xmlns:w15="http://schemas.microsoft.com/office/word/2012/wordml">
        <w:rPr>
          <w:rFonts w:ascii="Arial" w:hAnsi="Arial" w:cs="Arial"/>
          <w:sz w:val="22"/>
          <w:szCs w:val="22"/>
        </w:rPr>
        <w:t xml:space="preserve">[PL 1985, c. 648,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648,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