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False or misleading financial statements</w:t>
      </w:r>
    </w:p>
    <w:p>
      <w:pPr>
        <w:jc w:val="both"/>
        <w:spacing w:before="100" w:after="0"/>
        <w:ind w:start="360"/>
        <w:ind w:firstLine="360"/>
      </w:pPr>
      <w:r>
        <w:rPr>
          <w:b/>
        </w:rPr>
        <w:t>1</w:t>
        <w:t xml:space="preserve">.  </w:t>
      </w:r>
      <w:r>
        <w:rPr>
          <w:b/>
        </w:rPr>
      </w:r>
      <w:r>
        <w:t xml:space="preserve"> </w:t>
      </w:r>
      <w:r>
        <w:t xml:space="preserve">No person shall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an insurer with intent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make any false entry in any book, report or statement of any insurer with intent to deceive any agent or examiner lawfully appointed to examine into its condition or into any of its affairs, or any public official to whom such insurer is required by law to report, or who has authority by law to examine into its condition or into any of its affairs, or, with like intent, willfully omit to make a true entry of any material fact pertaining to the business of such insurer in any book, report or statement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person shall advertise the capital or assets of an insurer without in the same advertisement setting forth the amount of the insurer's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§2156. False or misleading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False or misleading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§2156. FALSE OR MISLEADING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