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Boycott, coercion and intimidation</w:t>
      </w:r>
    </w:p>
    <w:p>
      <w:pPr>
        <w:jc w:val="both"/>
        <w:spacing w:before="100" w:after="100"/>
        <w:ind w:start="360"/>
        <w:ind w:firstLine="360"/>
      </w:pPr>
      <w:r>
        <w:rPr/>
      </w:r>
      <w:r>
        <w:rPr/>
      </w:r>
      <w:r>
        <w:t xml:space="preserve">No person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Enter into any agreement to commit, or by any concerted action commit, any act of boycott, coercion or intimidation resulting in or tending to result in unreasonable restraint of or monopoly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Enter into any agreement to commit any act of boycott, coercion or intimidation, or in pursuance thereof monopolize or attempt to monopolize any part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Boycott, coercion and intimidation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Boycott, coercion and intimidation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§2158. BOYCOTT, COERCION AND INTIMIDATION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