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§2162. UNFAIR DISCRIMINATION, REBATES PROHIBITED -- PROPERTY, CASUALTY, SURETY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