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Service upon unauthorized insurers</w:t>
      </w:r>
    </w:p>
    <w:p>
      <w:pPr>
        <w:jc w:val="both"/>
        <w:spacing w:before="100" w:after="100"/>
        <w:ind w:start="360"/>
        <w:ind w:firstLine="360"/>
      </w:pPr>
      <w:r>
        <w:rPr/>
      </w:r>
      <w:r>
        <w:rPr/>
      </w:r>
      <w:r>
        <w:t xml:space="preserve">Provisions of this chapter applicable to insurers apply fully to unauthorized insurers.  If an action under this chapter is brought against an unauthorized insurer, </w:t>
      </w:r>
      <w:r>
        <w:t>section 2105</w:t>
      </w:r>
      <w:r>
        <w:t xml:space="preserve"> applies to all process, notices and statements of charges.</w:t>
      </w:r>
      <w:r>
        <w:t xml:space="preserve">  </w:t>
      </w:r>
      <w:r xmlns:wp="http://schemas.openxmlformats.org/drawingml/2010/wordprocessingDrawing" xmlns:w15="http://schemas.microsoft.com/office/word/2012/wordml">
        <w:rPr>
          <w:rFonts w:ascii="Arial" w:hAnsi="Arial" w:cs="Arial"/>
          <w:sz w:val="22"/>
          <w:szCs w:val="22"/>
        </w:rPr>
        <w:t xml:space="preserve">[PL 1991, c. 298, §14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§2167. Service upon unauthorized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Service upon unauthorized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§2167. SERVICE UPON UNAUTHORIZED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