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Purpose</w:t>
      </w:r>
    </w:p>
    <w:p>
      <w:pPr>
        <w:jc w:val="both"/>
        <w:spacing w:before="100" w:after="100"/>
        <w:ind w:start="360"/>
        <w:ind w:firstLine="360"/>
      </w:pPr>
      <w:r>
        <w:rPr/>
      </w:r>
      <w:r>
        <w:rPr/>
      </w:r>
      <w:r>
        <w:t xml:space="preserve">The purpose of this chapter is to establish standards for the collection, use and disclosure of information gathered in connection with insurance transactions; to maintain a balance between insurance carriers' need for information and the public's need for fair information practices that respect privacy; to establish a regulatory mechanism to enable insurance consumers to ascertain what information is being collected about them and to verify its accuracy; to limit the distribution of information collected in connection with insurance transactions; and to enable consumers to obtain the reasons for adverse underwriting decisions.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