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§223. CONDUCT OF EXAMINATION; ACCESS TO RECORDS;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