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Construction</w:t>
      </w:r>
    </w:p>
    <w:p>
      <w:pPr>
        <w:jc w:val="both"/>
        <w:spacing w:before="100" w:after="100"/>
        <w:ind w:start="360"/>
        <w:ind w:firstLine="360"/>
      </w:pPr>
      <w:r>
        <w:rPr/>
      </w:r>
      <w:r>
        <w:rPr/>
      </w:r>
      <w:r>
        <w:t xml:space="preserve">This chapter establishes standards for data security and exclusive standards for the investigation of and notification to the superintendent regarding a cybersecurity event applicable to licensees. This chapter may not be construed to create or imply a private cause of action for violation of its provisions or to curtail a private cause of action that would otherwise exist in the absence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