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Effective date; implementation</w:t>
      </w:r>
    </w:p>
    <w:p>
      <w:pPr>
        <w:jc w:val="both"/>
        <w:spacing w:before="100" w:after="100"/>
        <w:ind w:start="360"/>
        <w:ind w:firstLine="360"/>
      </w:pPr>
      <w:r>
        <w:rPr/>
      </w:r>
      <w:r>
        <w:rPr/>
      </w:r>
      <w:r>
        <w:t xml:space="preserve">This chapter takes effect January 1, 2022. A licensee must comply with </w:t>
      </w:r>
      <w:r>
        <w:t>section 2264</w:t>
      </w:r>
      <w:r>
        <w:t xml:space="preserve"> no later than January 1, 2022, except that a licensee must comply with </w:t>
      </w:r>
      <w:r>
        <w:t>section 2264, subsection 6</w:t>
      </w:r>
      <w:r>
        <w:t xml:space="preserve"> no later than January 1, 2023.</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§2272. Effective date;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Effective date;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§2272. EFFECTIVE DATE;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