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Validity and construction of noncomplying forms</w:t>
      </w:r>
    </w:p>
    <w:p>
      <w:pPr>
        <w:jc w:val="both"/>
        <w:spacing w:before="100" w:after="0"/>
        <w:ind w:start="360"/>
        <w:ind w:firstLine="360"/>
      </w:pPr>
      <w:r>
        <w:rPr>
          <w:b/>
        </w:rPr>
        <w:t>1</w:t>
        <w:t xml:space="preserve">.  </w:t>
      </w:r>
      <w:r>
        <w:rPr>
          <w:b/>
        </w:rPr>
      </w:r>
      <w:r>
        <w:t xml:space="preserve"> </w:t>
      </w:r>
      <w:r>
        <w:t xml:space="preserve">A policy hereafter delivered or issued for delivery to any person in this State in violation of this Title but otherwise binding on the insurer, shall be held valid, but shall be construed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condition, omission or provision not in compliance with the requirements of this Title and contained in any policy, rider, or endorsement hereafter issued and otherwise valid, shall not thereby be rendered invalid but shall be construed and applied in accordance with such condition, omission or provision as would have applied had the same been in full compliance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§2418. Validity and construction of noncomplying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Validity and construction of noncomplying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§2418. VALIDITY AND CONSTRUCTION OF NONCOMPLYING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