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2440</w:t>
        <w:t xml:space="preserve">.  </w:t>
      </w:r>
      <w:r>
        <w:rPr>
          <w:b/>
        </w:rPr>
        <w:t xml:space="preserve">Applicability</w:t>
      </w:r>
    </w:p>
    <w:p>
      <w:pPr>
        <w:jc w:val="both"/>
        <w:spacing w:before="100" w:after="100"/>
        <w:ind w:start="360"/>
        <w:ind w:firstLine="360"/>
      </w:pPr>
      <w:r>
        <w:rPr>
          <w:b/>
        </w:rPr>
        <w:t>1</w:t>
        <w:t xml:space="preserve">.  </w:t>
      </w:r>
      <w:r>
        <w:rPr>
          <w:b/>
        </w:rPr>
        <w:t xml:space="preserve">Application.</w:t>
        <w:t xml:space="preserve"> </w:t>
      </w:r>
      <w:r>
        <w:t xml:space="preserve"> </w:t>
      </w:r>
      <w:r>
        <w:t xml:space="preserve">This Act shall apply to all policies delivered or issued for delivery in this State by an insurer on or after the date the forms must be approved under this Act, but nothing in this Act shall apply to:</w:t>
      </w:r>
    </w:p>
    <w:p>
      <w:pPr>
        <w:jc w:val="both"/>
        <w:spacing w:before="100" w:after="0"/>
        <w:ind w:start="720"/>
      </w:pPr>
      <w:r>
        <w:rPr/>
        <w:t>A</w:t>
        <w:t xml:space="preserve">.  </w:t>
      </w:r>
      <w:r>
        <w:rPr/>
      </w:r>
      <w:r>
        <w:t xml:space="preserve">Any policy which is a security subject to federal jurisdiction;</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B</w:t>
        <w:t xml:space="preserve">.  </w:t>
      </w:r>
      <w:r>
        <w:rPr/>
      </w:r>
      <w:r>
        <w:t xml:space="preserve">Any group policy covering a group of 1,000 or more lives at date of issue, other than a group credit life or health insurance policy; this shall not exempt any certificate issued pursuant to a group policy delivered or issued for delivery in this State;</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C</w:t>
        <w:t xml:space="preserve">.  </w:t>
      </w:r>
      <w:r>
        <w:rPr/>
      </w:r>
      <w:r>
        <w:t xml:space="preserve">Any group annuity contract which serves as a funding vehicle for pension, profit-sharing or deferred compensation plans;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D</w:t>
        <w:t xml:space="preserve">.  </w:t>
      </w:r>
      <w:r>
        <w:rPr/>
      </w:r>
      <w:r>
        <w:t xml:space="preserve">Any form used in connection with, as a conversion from, as an addition to, or in exchange pursuant to a contractual provision for, a policy delivered or issued for delivery on a form approved or permitted to be issued prior to the dates the forms must be approved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E</w:t>
        <w:t xml:space="preserve">.  </w:t>
      </w:r>
      <w:r>
        <w:rPr/>
      </w:r>
      <w:r>
        <w:t xml:space="preserve">The renewal of a policy delivered or issued for delivery prior to the dates the forms must be approved under this Act.</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2</w:t>
        <w:t xml:space="preserve">.  </w:t>
      </w:r>
      <w:r>
        <w:rPr>
          <w:b/>
        </w:rPr>
        <w:t xml:space="preserve">Exception.</w:t>
        <w:t xml:space="preserve"> </w:t>
      </w:r>
      <w:r>
        <w:t xml:space="preserve"> </w:t>
      </w:r>
      <w:r>
        <w:t xml:space="preserve">No other statute of this State setting language simplification standards shall apply to any policy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§2440.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§2440.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§2440.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