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Eligibility for health insurance in certain cases</w:t>
      </w:r>
    </w:p>
    <w:p>
      <w:pPr>
        <w:jc w:val="both"/>
        <w:spacing w:before="100" w:after="100"/>
        <w:ind w:start="360"/>
        <w:ind w:firstLine="360"/>
      </w:pPr>
      <w:r>
        <w:rPr/>
      </w:r>
      <w:r>
        <w:rPr/>
      </w:r>
      <w:r>
        <w:t xml:space="preserve">No policy of accident or health insurance, or group or blanket accident or health insurance or renewals thereof, shall be denied or not renewed by the insurer, solely because the mother of the insured has taken or is discovered to have taken diethylstilbestrol, commonly referred to as DES.</w:t>
      </w:r>
      <w:r>
        <w:t xml:space="preserve">  </w:t>
      </w:r>
      <w:r xmlns:wp="http://schemas.openxmlformats.org/drawingml/2010/wordprocessingDrawing" xmlns:w15="http://schemas.microsoft.com/office/word/2012/wordml">
        <w:rPr>
          <w:rFonts w:ascii="Arial" w:hAnsi="Arial" w:cs="Arial"/>
          <w:sz w:val="22"/>
          <w:szCs w:val="22"/>
        </w:rPr>
        <w:t xml:space="preserve">[PL 1979, c. 415,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§2450. Eligibility for health insurance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Eligibility for health insurance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§2450. ELIGIBILITY FOR HEALTH INSURANCE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