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Definitions</w:t>
      </w:r>
    </w:p>
    <w:p>
      <w:pPr>
        <w:jc w:val="both"/>
        <w:spacing w:before="100" w:after="100"/>
        <w:ind w:start="360"/>
        <w:ind w:firstLine="360"/>
      </w:pPr>
      <w:r>
        <w:rPr/>
      </w:r>
      <w:r>
        <w:rPr/>
      </w:r>
      <w:r>
        <w:t xml:space="preserve">For the purposes of </w:t>
      </w:r>
      <w:r>
        <w:t>sections 2553</w:t>
      </w:r>
      <w:r>
        <w:t xml:space="preserve"> and </w:t>
      </w:r>
      <w:r>
        <w:t>2554</w:t>
      </w:r>
      <w:r>
        <w:t xml:space="preserve"> the "published monthly average" means: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360"/>
        <w:ind w:firstLine="360"/>
      </w:pPr>
      <w:r>
        <w:rPr>
          <w:b/>
        </w:rPr>
        <w:t>1</w:t>
        <w:t xml:space="preserve">.  </w:t>
      </w:r>
      <w:r>
        <w:rPr>
          <w:b/>
        </w:rPr>
      </w:r>
      <w:r>
        <w:t xml:space="preserve"> </w:t>
      </w:r>
      <w:r>
        <w:t xml:space="preserve">Moody's Corporate Bond Yield Average-Monthly Average Corporates as published by Moody's Investors Services, Inc. or any successor thereto;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2</w:t>
        <w:t xml:space="preserve">.  </w:t>
      </w:r>
      <w:r>
        <w:rPr>
          <w:b/>
        </w:rPr>
      </w:r>
      <w:r>
        <w:t xml:space="preserve"> </w:t>
      </w:r>
      <w:r>
        <w:t xml:space="preserve">In the event that Moody's Corporate Bond Yield Average-Monthly Average Corporates is no longer published, a substantially similar average, established by regulation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