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§2553. MAXIMUM RATE OF INTEREST ON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