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2702</w:t>
        <w:t xml:space="preserve">.  </w:t>
      </w:r>
      <w:r>
        <w:rPr>
          <w:b/>
        </w:rPr>
        <w:t xml:space="preserve">Short title</w:t>
      </w:r>
    </w:p>
    <w:p>
      <w:pPr>
        <w:jc w:val="both"/>
        <w:spacing w:before="100" w:after="100"/>
        <w:ind w:start="360"/>
        <w:ind w:firstLine="360"/>
      </w:pPr>
      <w:r>
        <w:rPr/>
      </w:r>
      <w:r>
        <w:rPr/>
      </w:r>
      <w:r>
        <w:t xml:space="preserve">This chapter may be cited as the "Uniform Health Policy Provision Law".</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§2702.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§2702.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§2702.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