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2736</w:t>
        <w:t xml:space="preserve">.  </w:t>
      </w:r>
      <w:r>
        <w:rPr>
          <w:b/>
        </w:rPr>
        <w:t xml:space="preserve">Rate filings on individual health insurance policies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w:t>
      </w:r>
      <w:r>
        <w:t>section 2701</w:t>
      </w:r>
      <w:r>
        <w:t xml:space="preserve">.  If the filing applies to individual health plans as defined in </w:t>
      </w:r>
      <w:r>
        <w:t>section 2736‑C</w:t>
      </w:r>
      <w:r>
        <w:t xml:space="preserve">,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§1 (RPR).]</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insurer supports such filing, or the superintendent does not have sufficient information to determine whether such filing meets the requirements that rates not be excessive, inadequate or unfairly discriminatory, the superintendent shall require the insurer to furnish the information upon which it supports the filing. A filing and all supporting information, except for protected health information required to be kept confidential by state or federal statute and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section 2736‑A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§2 (AMD).]</w:t>
      </w:r>
    </w:p>
    <w:p>
      <w:pPr>
        <w:jc w:val="both"/>
        <w:spacing w:before="100" w:after="100"/>
        <w:ind w:start="360"/>
        <w:ind w:firstLine="360"/>
      </w:pPr>
      <w:r>
        <w:rPr>
          <w:b/>
        </w:rPr>
        <w:t>3</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§5 (RP).]</w:t>
      </w:r>
    </w:p>
    <w:p>
      <w:pPr>
        <w:jc w:val="both"/>
        <w:spacing w:before="100" w:after="100"/>
        <w:ind w:start="360"/>
        <w:ind w:firstLine="360"/>
      </w:pPr>
      <w:r>
        <w:rPr>
          <w:b/>
        </w:rPr>
        <w:t>4</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493, §3 (RPR). PL 1979, c. 558, §§6,7 (AMD). PL 1985, c. 648, §10 (AMD). PL 1997, c. 344, §8 (AMD). PL 2001, c. 432, §§5,6 (AMD). PL 2003, c. 428, §F2 (AMD). PL 2003, c. 469, §§E9,10 (AMD). PL 2007, c. 629, Pt. M, §§1, 2 (AMD). PL 2009, c. 14, §4 (AMD). PL 2009, c. 244, Pt. C, §§5, 6 (AMD). PL 2009, c. 244, Pt. G, §1 (AMD). PL 2009, c. 439,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§2736. Rate filings on individual health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§2736. Rate filings on individual health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§2736. RATE FILINGS ON INDIVIDUAL HEALTH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