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insurer which issues for delivery in this State group health policies which provide coverage on an expense-incurred basis for the services of a "physician" or "doctor" to residents of this State shall make available to all groups coverage for such services when performed by an optometrist, to the extent the services are within the scope of the practice of an optometrist licensed to practice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w:pPr>
        <w:jc w:val="both"/>
        <w:spacing w:before="100" w:after="0"/>
        <w:ind w:start="360"/>
        <w:ind w:firstLine="360"/>
      </w:pPr>
      <w:r>
        <w:rPr>
          <w:b/>
        </w:rPr>
        <w:t>2</w:t>
        <w:t xml:space="preserve">.  </w:t>
      </w:r>
      <w:r>
        <w:rPr>
          <w:b/>
        </w:rPr>
        <w:t xml:space="preserve">Policy.</w:t>
        <w:t xml:space="preserve"> </w:t>
      </w:r>
      <w:r>
        <w:t xml:space="preserve"> </w:t>
      </w:r>
      <w:r>
        <w:t xml:space="preserve">The group or blanket policy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§2841. Optional coverage for optometric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 Optional coverage for optometric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§2841. OPTIONAL COVERAGE FOR OPTOMETRIC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