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insurance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insureds at public expense.  To assist the many citizens of this State who suffer from this illness in a more cost-effective way, the Legislature declares that certain health insurance coverage providing benefits for the treatment of the illness of substance use disorder must be included in all group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Registered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§9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insurer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B</w:t>
        <w:t xml:space="preserve">.  </w:t>
      </w:r>
      <w:r>
        <w:rPr/>
      </w:r>
      <w:r>
        <w:t xml:space="preserve">Outpatient care rendered by state licensed, certified or approved providers.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policies issued to employers with 20 or fewer employees insured under the group policy or to group policies designed primarily to supplement the Civilian Health and Medical Program of the Uniformed Services, as described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group health insurer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insurer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§§2,3 (NEW). PL 1983, c. 527, §2 (RPR). PL 1987, c. 480, §5 (AMD). PL 1989, c. 490, §3 (AMD). PL 2011, c. 320, Pt. A, §10 (AMD). RR 2015, c. 2, §14 (COR). PL 2017, c. 407, Pt. A, §95 (AMD). RR 2017,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§2842. Equitable health care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Equitable health care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§2842. EQUITABLE HEALTH CARE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