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1983, c. 816, §B7 (AMD);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§2843.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