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2850-C</w:t>
        <w:t xml:space="preserve">.  </w:t>
      </w:r>
      <w:r>
        <w:rPr>
          <w:b/>
        </w:rPr>
        <w:t xml:space="preserve">Nondiscrimination</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medical insurance contracts subject to </w:t>
      </w:r>
      <w:r>
        <w:t>chapter 35</w:t>
      </w:r>
      <w:r>
        <w:t xml:space="preserve"> other than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2</w:t>
        <w:t xml:space="preserve">.  </w:t>
      </w:r>
      <w:r>
        <w:rPr>
          <w:b/>
        </w:rPr>
        <w:t xml:space="preserve">Eligibility and premium contributions.</w:t>
        <w:t xml:space="preserve"> </w:t>
      </w:r>
      <w:r>
        <w:t xml:space="preserve"> </w:t>
      </w:r>
      <w:r>
        <w:t xml:space="preserve">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  Nothing in this section requires a group health plan to provide particular benefits other than those provided under the terms of the plan or restricts the amount an employer may be charged for coverage.  Nothing in this section prohibits establishing limitations or restrictions on the amount, level, extent or nature of the benefits for similarly situated individuals enrolled in the plan.  Nothing in this section prohibits a carrier from establishing premium discounts or refunds or modifying applicable copayments or deductibles in return for adherence to programs of health promotion and disease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3</w:t>
        <w:t xml:space="preserve">.  </w:t>
      </w:r>
      <w:r>
        <w:rPr>
          <w:b/>
        </w:rPr>
        <w:t xml:space="preserve">Applicability of section 4320-L.</w:t>
        <w:t xml:space="preserve"> </w:t>
      </w:r>
      <w:r>
        <w:t xml:space="preserve"> </w:t>
      </w:r>
      <w:r>
        <w:t xml:space="preserve">In addition to the requirements of this section, a carrier is subject to </w:t>
      </w:r>
      <w:r>
        <w:t>section 4320‑L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2019, c. 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§2850-C.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§2850-C.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§2850-C.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