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In the event the policy provides automobile physical damage coverage, like notice of cancellation must also be given to any party mentioned in the loss payable clause.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w:pPr>
        <w:jc w:val="both"/>
        <w:spacing w:before="100" w:after="100"/>
        <w:ind w:start="360"/>
        <w:ind w:firstLine="360"/>
      </w:pPr>
      <w:r>
        <w:rPr/>
      </w:r>
      <w:r>
        <w:rPr/>
      </w:r>
      <w:r>
        <w:t xml:space="preserve">Except for a policy that has been in effect for less than 60 days at the time notice of cancellation is received by the named insured, the reason for cancellation must accompany the notice, together with a notice of the right to apply for a hearing before the superintendent within 30 days, as provided in </w:t>
      </w:r>
      <w:r>
        <w:t>section 2920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§3 (AMD). PL 1979, c. 347, §§3,4 (AMD). PL 1989, c. 172, §4 (AMD). PL 2005, c. 114, §2 (AMD). PL 2007, c. 188,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Delivery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Delivery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§2915. DELIVERY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