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3022</w:t>
        <w:t xml:space="preserve">.  </w:t>
      </w:r>
      <w:r>
        <w:rPr>
          <w:b/>
        </w:rPr>
        <w:t xml:space="preserve">Lien continues on deceased's property; policy descends to estate</w:t>
      </w:r>
    </w:p>
    <w:p>
      <w:pPr>
        <w:jc w:val="both"/>
        <w:spacing w:before="100" w:after="100"/>
        <w:ind w:start="360"/>
        <w:ind w:firstLine="360"/>
      </w:pPr>
      <w:r>
        <w:rPr/>
      </w:r>
      <w:r>
        <w:rPr/>
      </w:r>
      <w:r>
        <w:t xml:space="preserve">Upon the death of a member, the lien of the insurer remains good on the property insured to the amount due on the deposit note, and the policy descends to the executor or administrator of the deceased for the benefit of the estate during its continuance, unless voluntarily surrendered or forfeited by the charter of the insurer.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§3022. Lien continues on deceased's property; policy descends to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§3022. Lien continues on deceased's property; policy descends to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§3022. LIEN CONTINUES ON DECEASED'S PROPERTY; POLICY DESCENDS TO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