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Uniform policy standards concerning hurricane deductible programs</w:t>
      </w:r>
    </w:p>
    <w:p>
      <w:pPr>
        <w:jc w:val="both"/>
        <w:spacing w:before="100" w:after="100"/>
        <w:ind w:start="360"/>
        <w:ind w:firstLine="360"/>
      </w:pPr>
      <w:r>
        <w:rPr/>
      </w:r>
      <w:r>
        <w:rPr/>
      </w:r>
      <w:r>
        <w:t xml:space="preserve">The superintendent shall adopt rules establishing procedures and standards for an insurer that uses a hurricane deductible program or programs regarding the applicability of hurricane deductibles.  Procedures and standards must include without limitation uniform policy standards and the form of notice that the insurer must provide to the named insured under a policy subject to this subchapter issued by the insurer.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§3061. Uniform policy standards concerning hurricane deductible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Uniform policy standards concerning hurricane deductible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§3061. UNIFORM POLICY STANDARDS CONCERNING HURRICANE DEDUCTIBLE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