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Scope of chapter</w:t>
      </w:r>
    </w:p>
    <w:p>
      <w:pPr>
        <w:jc w:val="both"/>
        <w:spacing w:before="100" w:after="100"/>
        <w:ind w:start="360"/>
        <w:ind w:firstLine="360"/>
      </w:pPr>
      <w:r>
        <w:rPr/>
      </w:r>
      <w:r>
        <w:rPr/>
      </w:r>
      <w:r>
        <w:t xml:space="preserve">This chapter applies only as to domestic stock and mutual insurers transacting insurance on the cash premium or legal reserve plan.</w:t>
      </w:r>
      <w:r>
        <w:t xml:space="preserve">  </w:t>
      </w:r>
      <w:r xmlns:wp="http://schemas.openxmlformats.org/drawingml/2010/wordprocessingDrawing" xmlns:w15="http://schemas.microsoft.com/office/word/2012/wordml">
        <w:rPr>
          <w:rFonts w:ascii="Arial" w:hAnsi="Arial" w:cs="Arial"/>
          <w:sz w:val="22"/>
          <w:szCs w:val="22"/>
        </w:rPr>
        <w:t xml:space="preserve">[PL 1973, c. 788, §107 (AMD).]</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§107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§107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788, §107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