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Authority to transact additional kinds of insurance</w:t>
      </w:r>
    </w:p>
    <w:p>
      <w:pPr>
        <w:jc w:val="both"/>
        <w:spacing w:before="100" w:after="100"/>
        <w:ind w:start="360"/>
        <w:ind w:firstLine="360"/>
      </w:pPr>
      <w:r>
        <w:rPr/>
      </w:r>
      <w:r>
        <w:rPr/>
      </w:r>
      <w:r>
        <w:t xml:space="preserve">After being authorized to transact one kind or combination of kinds of insurance as provided in </w:t>
      </w:r>
      <w:r>
        <w:t>section 3352</w:t>
      </w:r>
      <w:r>
        <w:t xml:space="preserve">, a mutual insurer may be authorized by the superintendent to transact such additional kinds of insurance as are permitted under </w:t>
      </w:r>
      <w:r>
        <w:t>section 409</w:t>
      </w:r>
      <w:r>
        <w:t xml:space="preserve"> (combinations of insuring powers), while otherwise in compliance with this Title and while maintaining unimpaired surplus and guaranty capital funds in an amount not less than the amount of paid-in capital stock required to be maintained by a like domestic stock insurer transacting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§3357. Authority to transact additional kinds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Authority to transact additional kinds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§3357. AUTHORITY TO TRANSACT ADDITIONAL KINDS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