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Officers; notice of change</w:t>
      </w:r>
    </w:p>
    <w:p>
      <w:pPr>
        <w:jc w:val="both"/>
        <w:spacing w:before="100" w:after="0"/>
        <w:ind w:start="360"/>
        <w:ind w:firstLine="360"/>
      </w:pPr>
      <w:r>
        <w:rPr>
          <w:b/>
        </w:rPr>
        <w:t>1</w:t>
        <w:t xml:space="preserve">.  </w:t>
      </w:r>
      <w:r>
        <w:rPr>
          <w:b/>
        </w:rPr>
      </w:r>
      <w:r>
        <w:t xml:space="preserve"> </w:t>
      </w:r>
      <w:r>
        <w:t xml:space="preserve">An insurer's board of directors shall elect one of their number as president, and shall elect a corporate secretary and such other officers as may be provided for in the bylaws or otherwise required by law. Any such officer shall serve for such term as may be fixed in the bylaws or by the board of directors, but shall be subject to removal as an officer by the board of directors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Each officer shall have such powers and duties as may be prescribed by or pursuant to the insurer's charter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§3412. Officers; notice of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Officers; notice of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§3412. OFFICERS; NOTICE OF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