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Reports and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In addition to any other reports required by this Title, the board shall submit an annual report to the Governor and the joint standing committee of the Legislature having jurisdiction over insurance matters indicating the business done by the company during the previous year and containing a statement of the resources and liabilities of the fund and any other information considered appropriate by the board.  The report must contain, at a minimum, a summary of the latest annual statement required to be filed with the superintendent prepared in accordance with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§7 (AMD).]</w:t>
      </w:r>
    </w:p>
    <w:p>
      <w:pPr>
        <w:jc w:val="both"/>
        <w:spacing w:before="100" w:after="0"/>
        <w:ind w:start="360"/>
        <w:ind w:firstLine="360"/>
      </w:pPr>
      <w:r>
        <w:rPr>
          <w:b/>
        </w:rPr>
        <w:t>2</w:t>
        <w:t xml:space="preserve">.  </w:t>
      </w:r>
      <w:r>
        <w:rPr>
          <w:b/>
        </w:rPr>
        <w:t xml:space="preserve">Statistical and actuarial data.</w:t>
        <w:t xml:space="preserve"> </w:t>
      </w:r>
      <w:r>
        <w:t xml:space="preserve"> </w:t>
      </w:r>
      <w:r>
        <w:t xml:space="preserve">The company shall compile and maintain statistical and actuarial data related to the determination of proper premium rate levels, the incidence of work-related injuries, costs related to those injuries and any other data that the company considers desirable.  The company shall provide this data to the Superintendent of Insurance, the Executive Director of the Workers' Compensation Board and the Department of Labor annually and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§C7 (AMD). PL 1991, c. 885, §D2 (AMD). PL 2003, c. 608,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Reports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Reports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§3706. REPORTS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