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4139-A</w:t>
        <w:t xml:space="preserve">.  </w:t>
      </w:r>
      <w:r>
        <w:rPr>
          <w:b/>
        </w:rPr>
        <w:t xml:space="preserve">Funeral service contracts</w:t>
      </w:r>
    </w:p>
    <w:p>
      <w:pPr>
        <w:jc w:val="both"/>
        <w:spacing w:before="100" w:after="100"/>
        <w:ind w:start="360"/>
        <w:ind w:firstLine="360"/>
      </w:pPr>
      <w:r>
        <w:rPr/>
      </w:r>
      <w:r>
        <w:rPr/>
      </w:r>
      <w:r>
        <w:t xml:space="preserve">Every society is subject to the provisions of </w:t>
      </w:r>
      <w:r>
        <w:t>section 2176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§4139-A. FUNERAL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