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4222-A</w:t>
        <w:t xml:space="preserve">.  </w:t>
      </w:r>
      <w:r>
        <w:rPr>
          <w:b/>
        </w:rPr>
        <w:t xml:space="preserve">Rules</w:t>
      </w:r>
    </w:p>
    <w:p>
      <w:pPr>
        <w:jc w:val="both"/>
        <w:spacing w:before="100" w:after="100"/>
        <w:ind w:start="360"/>
        <w:ind w:firstLine="360"/>
      </w:pPr>
      <w:r>
        <w:rPr/>
      </w:r>
      <w:r>
        <w:rPr/>
      </w:r>
      <w:r>
        <w:t xml:space="preserve">Subject to the applicable requirements and procedures of the Maine Administrative Procedure Act, </w:t>
      </w:r>
      <w:r>
        <w:t>Title 5, chapter 375, subchapter II</w:t>
      </w:r>
      <w:r>
        <w:t xml:space="preserve">, the superintendent may make, adopt, amend and rescind reasonable rules to aid the administration or effectuation of any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1993, c. 702, Pt. A,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702, §A17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§4222-A.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§4222-A.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§4222-A.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