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4256</w:t>
        <w:t xml:space="preserve">.  </w:t>
      </w:r>
      <w:r>
        <w:rPr>
          <w:b/>
        </w:rPr>
        <w:t xml:space="preserve">Coverage for medically necessary infant formula</w:t>
      </w:r>
    </w:p>
    <w:p>
      <w:pPr>
        <w:jc w:val="both"/>
        <w:spacing w:before="100" w:after="100"/>
        <w:ind w:start="360"/>
      </w:pPr>
      <w:r>
        <w:rPr>
          <w:b/>
        </w:rPr>
        <w:t>(REALLOCATED FROM TITLE 24-A, SECTION 4254)</w:t>
      </w:r>
    </w:p>
    <w:p>
      <w:pPr>
        <w:jc w:val="both"/>
        <w:spacing w:before="100" w:after="100"/>
        <w:ind w:start="360"/>
        <w:ind w:firstLine="360"/>
      </w:pPr>
      <w:r>
        <w:rPr/>
      </w:r>
      <w:r>
        <w:rPr/>
      </w:r>
      <w:r>
        <w:t xml:space="preserve">All individual and group health maintenance organization policies, contracts and certificates must provide coverage for amino acid-based elemental infant formula for children 2 years of age and under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360"/>
        <w:ind w:firstLine="360"/>
      </w:pPr>
      <w:r>
        <w:rPr>
          <w:b/>
        </w:rPr>
        <w:t>1</w:t>
        <w:t xml:space="preserve">.  </w:t>
      </w:r>
      <w:r>
        <w:rPr>
          <w:b/>
        </w:rPr>
        <w:t xml:space="preserve">Determination of medical necessity.</w:t>
        <w:t xml:space="preserve"> </w:t>
      </w:r>
      <w:r>
        <w:t xml:space="preserve"> </w:t>
      </w:r>
      <w:r>
        <w:t xml:space="preserve">Coverage for amino acid-based elemental infant formula must be provided when a licensed physician has submitted documentation that the amino acid-based elemental infant formula is medically necessary health care as defined in </w:t>
      </w:r>
      <w:r>
        <w:t>section 4301‑A, subsection 10‑A</w:t>
      </w:r>
      <w:r>
        <w:t xml:space="preserve">, that the amino acid-based elemental infant formula is the predominant source of nutritional intake at a rate of 50% or greater and that other commercial infant formulas, including cow milk-based and soy milk-based formulas have been tried and have failed or are contraindicated. A licensed physician may be required to confirm and document ongoing medical necessity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§16 (RAL).]</w:t>
      </w:r>
    </w:p>
    <w:p>
      <w:pPr>
        <w:jc w:val="both"/>
        <w:spacing w:before="100" w:after="0"/>
        <w:ind w:start="360"/>
        <w:ind w:firstLine="360"/>
      </w:pPr>
      <w:r>
        <w:rPr>
          <w:b/>
        </w:rPr>
        <w:t>2</w:t>
        <w:t xml:space="preserve">.  </w:t>
      </w:r>
      <w:r>
        <w:rPr>
          <w:b/>
        </w:rPr>
        <w:t xml:space="preserve">Method of delivery.</w:t>
        <w:t xml:space="preserve"> </w:t>
      </w:r>
      <w:r>
        <w:t xml:space="preserve"> </w:t>
      </w:r>
      <w:r>
        <w:t xml:space="preserve">Coverage for amino acid-based elemental infant formula must be provided without regard to the method of delivery of the formula.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§16 (RAL).]</w:t>
      </w:r>
    </w:p>
    <w:p>
      <w:pPr>
        <w:jc w:val="both"/>
        <w:spacing w:before="100" w:after="100"/>
        <w:ind w:start="360"/>
        <w:ind w:firstLine="360"/>
      </w:pPr>
      <w:r>
        <w:rPr>
          <w:b/>
        </w:rPr>
        <w:t>3</w:t>
        <w:t xml:space="preserve">.  </w:t>
      </w:r>
      <w:r>
        <w:rPr>
          <w:b/>
        </w:rPr>
        <w:t xml:space="preserve">Required diagnosis.</w:t>
        <w:t xml:space="preserve"> </w:t>
      </w:r>
      <w:r>
        <w:t xml:space="preserve"> </w:t>
      </w:r>
      <w:r>
        <w:t xml:space="preserve">Coverage for amino acid-based elemental infant formula must be provided when a licensed physician has diagnosed and through medical evaluation has documented one of the following conditions:</w:t>
      </w:r>
    </w:p>
    <w:p>
      <w:pPr>
        <w:jc w:val="both"/>
        <w:spacing w:before="100" w:after="0"/>
        <w:ind w:start="720"/>
      </w:pPr>
      <w:r>
        <w:rPr/>
        <w:t>A</w:t>
        <w:t xml:space="preserve">.  </w:t>
      </w:r>
      <w:r>
        <w:rPr/>
      </w:r>
      <w:r>
        <w:t xml:space="preserve">Symptomatic allergic colitis or proctitis;</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B</w:t>
        <w:t xml:space="preserve">.  </w:t>
      </w:r>
      <w:r>
        <w:rPr/>
      </w:r>
      <w:r>
        <w:t xml:space="preserve">Laboratory- or biopsy-proven allergic or eosinophilic gastroenteritis;</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C</w:t>
        <w:t xml:space="preserve">.  </w:t>
      </w:r>
      <w:r>
        <w:rPr/>
      </w:r>
      <w:r>
        <w:t xml:space="preserve">A history of anaphylaxis;</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D</w:t>
        <w:t xml:space="preserve">.  </w:t>
      </w:r>
      <w:r>
        <w:rPr/>
      </w:r>
      <w:r>
        <w:t xml:space="preserve">Gastroesophageal reflux disease that is nonresponsive to standard medical therapies;</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E</w:t>
        <w:t xml:space="preserve">.  </w:t>
      </w:r>
      <w:r>
        <w:rPr/>
      </w:r>
      <w:r>
        <w:t xml:space="preserve">Severe vomiting or diarrhea resulting in clinically significant dehydration requiring treatment by a medical provider;</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F</w:t>
        <w:t xml:space="preserve">.  </w:t>
      </w:r>
      <w:r>
        <w:rPr/>
      </w:r>
      <w:r>
        <w:t xml:space="preserve">Cystic fibrosis; or</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G</w:t>
        <w:t xml:space="preserve">.  </w:t>
      </w:r>
      <w:r>
        <w:rPr/>
      </w:r>
      <w:r>
        <w:t xml:space="preserve">Malabsorption of cow milk-based or soy milk-based infant formula.</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§16 (RAL).]</w:t>
      </w:r>
    </w:p>
    <w:p>
      <w:pPr>
        <w:jc w:val="both"/>
        <w:spacing w:before="100" w:after="0"/>
        <w:ind w:start="360"/>
        <w:ind w:firstLine="360"/>
      </w:pPr>
      <w:r>
        <w:rPr>
          <w:b/>
        </w:rPr>
        <w:t>4</w:t>
        <w:t xml:space="preserve">.  </w:t>
      </w:r>
      <w:r>
        <w:rPr>
          <w:b/>
        </w:rPr>
        <w:t xml:space="preserve">Health savings accounts.</w:t>
        <w:t xml:space="preserve"> </w:t>
      </w:r>
      <w:r>
        <w:t xml:space="preserve"> </w:t>
      </w:r>
      <w:r>
        <w:t xml:space="preserve">Coverage for amino acid-based elemental infant formula under a health insurance policy, contract or certificate issued in connection with a health savings account as authorized under Title XII of the federal Medicare Prescription Drug, Improvement, and Modernization Act of 2003 may be subject to the same deductible and out-of-pocket limits that apply to overall benefits under the policy,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§4256. Coverage for medically necessary infant formula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§4256. Coverage for medically necessary infant formula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§4256. COVERAGE FOR MEDICALLY NECESSARY INFANT FORMULA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