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Grounds for conservation, foreign and alien insurers</w:t>
      </w:r>
    </w:p>
    <w:p>
      <w:pPr>
        <w:jc w:val="both"/>
        <w:spacing w:before="100" w:after="100"/>
        <w:ind w:start="360"/>
        <w:ind w:firstLine="360"/>
      </w:pPr>
      <w:r>
        <w:rPr/>
      </w:r>
      <w:r>
        <w:rPr/>
      </w:r>
      <w:r>
        <w:t xml:space="preserve">The superintendent may apply to the court for an order appointing the superintendent as receiver or ancillary receiver and directing the superintendent to conserve the assets within this State of a foreign or alien insurer upon any of the applicable grounds specified in </w:t>
      </w:r>
      <w:r>
        <w:t>section 4356</w:t>
      </w:r>
      <w:r>
        <w:t xml:space="preserve"> or </w:t>
      </w:r>
      <w:r>
        <w:t>4357</w:t>
      </w:r>
      <w:r>
        <w:t xml:space="preserve"> or upon the ground that the insurer's property has been sequestrated in its domiciliary sovereignty or in any other sovereignty; or, in the case of an alien insurer, that the insurer has failed to make good an impairment of its trusteed funds within the time required therefor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2, Pt. A,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§354 (COR). RR 2021, c. 2, Pt. A,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§4358. Grounds for conservation, foreign and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Grounds for conservation, foreign and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§4358. GROUNDS FOR CONSERVATION, FOREIGN AND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