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Construction</w:t>
      </w:r>
    </w:p>
    <w:p>
      <w:pPr>
        <w:jc w:val="both"/>
        <w:spacing w:before="100" w:after="100"/>
        <w:ind w:start="360"/>
        <w:ind w:firstLine="360"/>
      </w:pPr>
      <w:r>
        <w:rPr/>
      </w:r>
      <w:r>
        <w:rPr/>
      </w:r>
      <w:r>
        <w:t xml:space="preserve">This chapter must be construed to effect the purpose under </w:t>
      </w:r>
      <w:r>
        <w:t>section 4602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§3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§3 (AMD). PL 2005, c. 346,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