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4615</w:t>
        <w:t xml:space="preserve">.  </w:t>
      </w:r>
      <w:r>
        <w:rPr>
          <w:b/>
        </w:rPr>
        <w:t xml:space="preserve">Examination of the association; annual report</w:t>
      </w:r>
    </w:p>
    <w:p>
      <w:pPr>
        <w:jc w:val="both"/>
        <w:spacing w:before="100" w:after="100"/>
        <w:ind w:start="360"/>
        <w:ind w:firstLine="360"/>
      </w:pPr>
      <w:r>
        <w:rPr/>
      </w:r>
      <w:r>
        <w:rPr/>
      </w:r>
      <w:r>
        <w:t xml:space="preserve">The association shall be subject to examination and regulation by the superintendent. The board of directors shall submit to the superintendent, not later than May 1st of each year, a financial report for the preceding calendar year in a form approved by the superintendent and a report of its activities during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§4615. Examination of the association;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§4615. Examination of the association;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§4615. EXAMINATION OF THE ASSOCIATION;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