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7</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may arise against any member insurer or its agents or employees, the association or its agents or employees, the board of directors or any member of the board or the superintendent or the superintendent's representatives, for any act or omission by them in the performance of their powers and duties under this chapter.  Immunity extends to the participation in any organization of one or more other state associations of similar purposes and to any such organization and it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17.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7.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7.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